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85" w:rsidRPr="00C56585" w:rsidRDefault="00C56585" w:rsidP="006B4ECC">
      <w:pPr>
        <w:rPr>
          <w:rFonts w:ascii="Verdana" w:hAnsi="Verdana"/>
          <w:b/>
        </w:rPr>
      </w:pPr>
      <w:bookmarkStart w:id="0" w:name="_GoBack"/>
      <w:bookmarkEnd w:id="0"/>
    </w:p>
    <w:p w:rsidR="00C56585" w:rsidRDefault="00D84BA0" w:rsidP="004826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SPRO 41 </w:t>
      </w:r>
    </w:p>
    <w:p w:rsidR="00D84BA0" w:rsidRDefault="00D84BA0" w:rsidP="00D84BA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Réunion du 13/12/16/ Romorantin</w:t>
      </w:r>
    </w:p>
    <w:p w:rsidR="00681CB9" w:rsidRDefault="00681CB9" w:rsidP="00681CB9">
      <w:pPr>
        <w:rPr>
          <w:rFonts w:ascii="Verdana" w:hAnsi="Verdana"/>
        </w:rPr>
      </w:pPr>
    </w:p>
    <w:p w:rsidR="00541C96" w:rsidRDefault="00541C96" w:rsidP="00681CB9">
      <w:pPr>
        <w:rPr>
          <w:rFonts w:ascii="Verdana" w:hAnsi="Verdana"/>
        </w:rPr>
      </w:pPr>
    </w:p>
    <w:p w:rsidR="00D84BA0" w:rsidRPr="00681CB9" w:rsidRDefault="00D84BA0" w:rsidP="00681CB9">
      <w:pPr>
        <w:pStyle w:val="Paragraphedeliste"/>
        <w:numPr>
          <w:ilvl w:val="0"/>
          <w:numId w:val="6"/>
        </w:numPr>
        <w:spacing w:line="276" w:lineRule="auto"/>
        <w:rPr>
          <w:b/>
        </w:rPr>
      </w:pPr>
      <w:r w:rsidRPr="00681CB9">
        <w:rPr>
          <w:b/>
        </w:rPr>
        <w:t>Présents :</w:t>
      </w:r>
    </w:p>
    <w:p w:rsidR="00D84BA0" w:rsidRPr="00D84BA0" w:rsidRDefault="00D84BA0" w:rsidP="00681CB9">
      <w:r w:rsidRPr="00D84BA0">
        <w:t>Frédéric Grosjean</w:t>
      </w:r>
      <w:r w:rsidRPr="00D84BA0">
        <w:tab/>
        <w:t>Pôle Emploi</w:t>
      </w:r>
    </w:p>
    <w:p w:rsidR="00D84BA0" w:rsidRPr="00D84BA0" w:rsidRDefault="00D84BA0" w:rsidP="00681CB9">
      <w:r w:rsidRPr="00D84BA0">
        <w:t xml:space="preserve">Maria </w:t>
      </w:r>
      <w:proofErr w:type="spellStart"/>
      <w:r w:rsidRPr="00D84BA0">
        <w:t>Pouplin</w:t>
      </w:r>
      <w:proofErr w:type="spellEnd"/>
      <w:r w:rsidRPr="00D84BA0">
        <w:tab/>
      </w:r>
      <w:r w:rsidR="00DC086A">
        <w:tab/>
      </w:r>
      <w:r w:rsidRPr="00D84BA0">
        <w:t>CIO</w:t>
      </w:r>
    </w:p>
    <w:p w:rsidR="00D84BA0" w:rsidRPr="00D84BA0" w:rsidRDefault="00D84BA0" w:rsidP="00681CB9">
      <w:r w:rsidRPr="00D84BA0">
        <w:t>Leila Salhi</w:t>
      </w:r>
      <w:r w:rsidRPr="00D84BA0">
        <w:tab/>
      </w:r>
      <w:r w:rsidRPr="00D84BA0">
        <w:tab/>
        <w:t>Mission Locale</w:t>
      </w:r>
    </w:p>
    <w:p w:rsidR="00D84BA0" w:rsidRPr="00D84BA0" w:rsidRDefault="00541C96" w:rsidP="00681CB9">
      <w:r>
        <w:t>Matthieu Vallée</w:t>
      </w:r>
      <w:r>
        <w:tab/>
        <w:t>Conseil Régional</w:t>
      </w:r>
    </w:p>
    <w:p w:rsidR="00D84BA0" w:rsidRPr="00D84BA0" w:rsidRDefault="00D84BA0" w:rsidP="00681CB9">
      <w:r w:rsidRPr="00D84BA0">
        <w:t>Françoise Pinet</w:t>
      </w:r>
      <w:r w:rsidRPr="00D84BA0">
        <w:tab/>
      </w:r>
      <w:r w:rsidR="00020F16">
        <w:tab/>
      </w:r>
      <w:r w:rsidRPr="00D84BA0">
        <w:t>SPRO 41</w:t>
      </w:r>
    </w:p>
    <w:p w:rsidR="00541C96" w:rsidRPr="00D84BA0" w:rsidRDefault="00541C96" w:rsidP="00D84BA0"/>
    <w:p w:rsidR="00D84BA0" w:rsidRPr="00681CB9" w:rsidRDefault="00DC086A" w:rsidP="00681CB9">
      <w:pPr>
        <w:pStyle w:val="Paragraphedeliste"/>
        <w:numPr>
          <w:ilvl w:val="0"/>
          <w:numId w:val="5"/>
        </w:numPr>
        <w:spacing w:after="240" w:line="276" w:lineRule="auto"/>
        <w:rPr>
          <w:b/>
        </w:rPr>
      </w:pPr>
      <w:r w:rsidRPr="00681CB9">
        <w:rPr>
          <w:b/>
        </w:rPr>
        <w:t>Infos aux partenaires</w:t>
      </w:r>
      <w:r w:rsidR="00090D83" w:rsidRPr="00681CB9">
        <w:rPr>
          <w:b/>
        </w:rPr>
        <w:t xml:space="preserve"> </w:t>
      </w:r>
    </w:p>
    <w:p w:rsidR="00142AAE" w:rsidRDefault="00B323B7" w:rsidP="006B4ECC">
      <w:pPr>
        <w:pStyle w:val="Paragraphedeliste"/>
        <w:numPr>
          <w:ilvl w:val="0"/>
          <w:numId w:val="4"/>
        </w:numPr>
        <w:spacing w:before="240" w:after="240"/>
        <w:ind w:left="0"/>
      </w:pPr>
      <w:r>
        <w:t>Modification de la convention SPRO : les nouvelles conventions seront reconduites par tacite reconduction via les coordin</w:t>
      </w:r>
      <w:r w:rsidR="006B4ECC">
        <w:t>ateurs. Tous les ans avant le 30</w:t>
      </w:r>
      <w:r>
        <w:t xml:space="preserve"> novembre, le nom du coordinateur sera acté lors d’une réunion territoriale.</w:t>
      </w:r>
    </w:p>
    <w:p w:rsidR="00142AAE" w:rsidRDefault="00142AAE" w:rsidP="006B4ECC">
      <w:pPr>
        <w:pStyle w:val="Paragraphedeliste"/>
        <w:spacing w:before="240" w:after="240"/>
        <w:ind w:left="0"/>
      </w:pPr>
    </w:p>
    <w:p w:rsidR="00B323B7" w:rsidRDefault="00B323B7" w:rsidP="006B4ECC">
      <w:pPr>
        <w:pStyle w:val="Paragraphedeliste"/>
        <w:numPr>
          <w:ilvl w:val="0"/>
          <w:numId w:val="4"/>
        </w:numPr>
        <w:spacing w:before="240" w:after="240"/>
        <w:ind w:left="0"/>
      </w:pPr>
      <w:r>
        <w:t>La Région va consacrer 100000€ en 2017 afin d’aider à la mise en place des actions SPRO sur les territoires. Les projets éligibles seront ceux qui privilégient l’</w:t>
      </w:r>
      <w:proofErr w:type="spellStart"/>
      <w:r>
        <w:t>interconnaisance</w:t>
      </w:r>
      <w:proofErr w:type="spellEnd"/>
      <w:r>
        <w:t xml:space="preserve"> entre les acteurs et les actions vers le public salarié.</w:t>
      </w:r>
    </w:p>
    <w:p w:rsidR="00142AAE" w:rsidRDefault="00B323B7" w:rsidP="006B4ECC">
      <w:pPr>
        <w:pStyle w:val="Paragraphedeliste"/>
        <w:spacing w:after="240"/>
        <w:ind w:left="0"/>
      </w:pPr>
      <w:r>
        <w:t>Les dossiers sont à déposer avant le 13 janvier 2017.</w:t>
      </w:r>
    </w:p>
    <w:p w:rsidR="00142AAE" w:rsidRDefault="00142AAE" w:rsidP="006B4ECC">
      <w:pPr>
        <w:pStyle w:val="Paragraphedeliste"/>
        <w:spacing w:after="240"/>
        <w:ind w:left="0"/>
      </w:pPr>
    </w:p>
    <w:p w:rsidR="00B323B7" w:rsidRDefault="00B323B7" w:rsidP="006B4ECC">
      <w:pPr>
        <w:pStyle w:val="Paragraphedeliste"/>
        <w:numPr>
          <w:ilvl w:val="0"/>
          <w:numId w:val="4"/>
        </w:numPr>
        <w:spacing w:after="240"/>
        <w:ind w:left="0"/>
      </w:pPr>
      <w:r>
        <w:t>La Région récupère la gestion des forums de l’Orientation, soit 540000€.</w:t>
      </w:r>
    </w:p>
    <w:p w:rsidR="00142AAE" w:rsidRDefault="00142AAE" w:rsidP="006B4ECC">
      <w:pPr>
        <w:pStyle w:val="Paragraphedeliste"/>
        <w:spacing w:after="240"/>
        <w:ind w:left="0"/>
      </w:pPr>
    </w:p>
    <w:p w:rsidR="00681CB9" w:rsidRDefault="00681CB9" w:rsidP="006B4ECC">
      <w:pPr>
        <w:pStyle w:val="Paragraphedeliste"/>
        <w:numPr>
          <w:ilvl w:val="0"/>
          <w:numId w:val="4"/>
        </w:numPr>
        <w:spacing w:after="240"/>
        <w:ind w:left="0"/>
      </w:pPr>
      <w:r>
        <w:t>Evolution des modalités de positionnement des publics vers les formations financées par la Région : jusqu’à présent, les demandeurs d’emploi qui souhaitaient entrer en formation devaient faire l’objet d’une prescription par Pôle Emploi, la Mission Locale ou Cap Emploi. A partir du 1 janvier 2017, les personnes pourront également être positionnées par l’ensemble des organismes membres du SPRO et/ou se positionner directement auprès des organismes de formation. Les personnes souhaitant entrer en formation doivent être inscrites à Pôle Emploi.</w:t>
      </w:r>
    </w:p>
    <w:p w:rsidR="00142AAE" w:rsidRDefault="00142AAE" w:rsidP="006B4ECC">
      <w:pPr>
        <w:pStyle w:val="Paragraphedeliste"/>
      </w:pPr>
    </w:p>
    <w:p w:rsidR="00142AAE" w:rsidRDefault="00142AAE" w:rsidP="006B4ECC">
      <w:pPr>
        <w:pStyle w:val="Paragraphedeliste"/>
        <w:numPr>
          <w:ilvl w:val="0"/>
          <w:numId w:val="4"/>
        </w:numPr>
        <w:spacing w:after="240"/>
        <w:ind w:left="0"/>
      </w:pPr>
      <w:r>
        <w:t xml:space="preserve">A partir de janvier 2017, Christelle </w:t>
      </w:r>
      <w:proofErr w:type="spellStart"/>
      <w:r>
        <w:t>Gagneux</w:t>
      </w:r>
      <w:proofErr w:type="spellEnd"/>
      <w:r>
        <w:t xml:space="preserve"> remplacera Françoise Pinet en tant que coordinatrice du SPRO 41.</w:t>
      </w:r>
      <w:r w:rsidR="00130EEF">
        <w:t xml:space="preserve"> </w:t>
      </w:r>
    </w:p>
    <w:p w:rsidR="00130EEF" w:rsidRDefault="00C96F85" w:rsidP="006B4ECC">
      <w:pPr>
        <w:pStyle w:val="Paragraphedeliste"/>
        <w:spacing w:after="240"/>
        <w:ind w:left="0"/>
      </w:pPr>
      <w:r>
        <w:t>Les partenaires soulignent l’importance de la mission de coordination en termes d’information sur les actualités des autres bassins et de valorisation de ses propres actions.</w:t>
      </w:r>
    </w:p>
    <w:p w:rsidR="00C96F85" w:rsidRDefault="00C96F85" w:rsidP="006B4ECC">
      <w:pPr>
        <w:pStyle w:val="Paragraphedeliste"/>
        <w:spacing w:after="240"/>
        <w:ind w:left="0"/>
      </w:pPr>
      <w:r>
        <w:t xml:space="preserve">Il est prévu pour 2017 un rythme de </w:t>
      </w:r>
      <w:r w:rsidR="006B4ECC">
        <w:t>rencontre</w:t>
      </w:r>
      <w:r>
        <w:t xml:space="preserve"> trimestriel.</w:t>
      </w:r>
    </w:p>
    <w:p w:rsidR="00541C96" w:rsidRPr="00090D83" w:rsidRDefault="00541C96" w:rsidP="00F937CE">
      <w:pPr>
        <w:pStyle w:val="Paragraphedeliste"/>
        <w:spacing w:after="240"/>
        <w:ind w:left="0"/>
      </w:pPr>
    </w:p>
    <w:p w:rsidR="008273F1" w:rsidRDefault="00681CB9" w:rsidP="00681CB9">
      <w:pPr>
        <w:pStyle w:val="Paragraphedeliste"/>
        <w:numPr>
          <w:ilvl w:val="0"/>
          <w:numId w:val="5"/>
        </w:numPr>
        <w:spacing w:line="276" w:lineRule="auto"/>
        <w:rPr>
          <w:b/>
        </w:rPr>
      </w:pPr>
      <w:r w:rsidRPr="00F937CE">
        <w:rPr>
          <w:b/>
        </w:rPr>
        <w:t xml:space="preserve">Actualités </w:t>
      </w:r>
      <w:r w:rsidR="00142AAE">
        <w:rPr>
          <w:b/>
        </w:rPr>
        <w:t xml:space="preserve">du </w:t>
      </w:r>
      <w:r w:rsidRPr="00F937CE">
        <w:rPr>
          <w:b/>
        </w:rPr>
        <w:t>bassin de Romorantin</w:t>
      </w:r>
    </w:p>
    <w:p w:rsidR="00F937CE" w:rsidRPr="008273F1" w:rsidRDefault="00F937CE" w:rsidP="001C73AB">
      <w:pPr>
        <w:pStyle w:val="Paragraphedeliste"/>
        <w:numPr>
          <w:ilvl w:val="0"/>
          <w:numId w:val="4"/>
        </w:numPr>
        <w:spacing w:after="240"/>
        <w:ind w:left="0"/>
        <w:rPr>
          <w:b/>
        </w:rPr>
      </w:pPr>
      <w:r>
        <w:t xml:space="preserve">Le partenariat est efficient sur le bassin entre les structures SPRO, ainsi qu’avec la Maison de l’Emploi. Des actions </w:t>
      </w:r>
      <w:r w:rsidR="008273F1">
        <w:t xml:space="preserve">relevant du SPRO </w:t>
      </w:r>
      <w:r>
        <w:t xml:space="preserve">sont régulièrement mises en place, cependant, elles ne sont </w:t>
      </w:r>
      <w:r>
        <w:lastRenderedPageBreak/>
        <w:t>pas «</w:t>
      </w:r>
      <w:r w:rsidR="008273F1">
        <w:t> affichées » en tant que telles</w:t>
      </w:r>
      <w:r>
        <w:t>, et de ce</w:t>
      </w:r>
      <w:r w:rsidR="008273F1">
        <w:t xml:space="preserve"> </w:t>
      </w:r>
      <w:r>
        <w:t>fait ne sont pas connues du reste du réseau (tant au niveau départementa</w:t>
      </w:r>
      <w:r w:rsidR="008273F1">
        <w:t xml:space="preserve">l que régional). Les axes de ce travail partenarial sont les </w:t>
      </w:r>
      <w:r>
        <w:t>suivants :</w:t>
      </w:r>
    </w:p>
    <w:p w:rsidR="00F937CE" w:rsidRDefault="00F937CE" w:rsidP="008273F1">
      <w:pPr>
        <w:pStyle w:val="Paragraphedeliste"/>
        <w:numPr>
          <w:ilvl w:val="0"/>
          <w:numId w:val="8"/>
        </w:numPr>
      </w:pPr>
      <w:r>
        <w:t xml:space="preserve">Interconnaissance entre les acteurs (ex : temps d’intégration </w:t>
      </w:r>
      <w:r w:rsidR="008273F1">
        <w:t>inter structures</w:t>
      </w:r>
      <w:r>
        <w:t>)</w:t>
      </w:r>
    </w:p>
    <w:p w:rsidR="00F937CE" w:rsidRDefault="00F937CE" w:rsidP="008273F1">
      <w:pPr>
        <w:pStyle w:val="Paragraphedeliste"/>
        <w:numPr>
          <w:ilvl w:val="0"/>
          <w:numId w:val="8"/>
        </w:numPr>
      </w:pPr>
      <w:r>
        <w:t>Travail commun sur le décrochage et les publics sans solution</w:t>
      </w:r>
    </w:p>
    <w:p w:rsidR="00F937CE" w:rsidRDefault="00F937CE" w:rsidP="008273F1">
      <w:pPr>
        <w:pStyle w:val="Paragraphedeliste"/>
        <w:numPr>
          <w:ilvl w:val="0"/>
          <w:numId w:val="8"/>
        </w:numPr>
      </w:pPr>
      <w:r>
        <w:t>Partenariat sur les différents forums</w:t>
      </w:r>
    </w:p>
    <w:p w:rsidR="001C73AB" w:rsidRDefault="008273F1" w:rsidP="008273F1">
      <w:r>
        <w:t xml:space="preserve">Le SPRO, au niveau régional, ayant mis en œuvre un travail sur la lisibilité du Service, ainsi que sur la mutualisation des actions et des moyens, il semble important de penser à </w:t>
      </w:r>
      <w:r w:rsidR="001C73AB">
        <w:t>afficher</w:t>
      </w:r>
      <w:r w:rsidR="006B4ECC">
        <w:t xml:space="preserve"> dorénavant</w:t>
      </w:r>
      <w:r w:rsidR="001C73AB">
        <w:t xml:space="preserve"> le « label SPRO</w:t>
      </w:r>
      <w:r>
        <w:t xml:space="preserve"> » </w:t>
      </w:r>
      <w:r w:rsidR="001C73AB">
        <w:t xml:space="preserve">sur </w:t>
      </w:r>
      <w:r>
        <w:t>les action</w:t>
      </w:r>
      <w:r w:rsidR="006B4ECC">
        <w:t>s et innovations territoriales, et de faire remonter les informations via la coordination.</w:t>
      </w:r>
    </w:p>
    <w:p w:rsidR="00142AAE" w:rsidRDefault="00142AAE" w:rsidP="008273F1"/>
    <w:p w:rsidR="001C73AB" w:rsidRDefault="001C73AB" w:rsidP="008273F1">
      <w:pPr>
        <w:pStyle w:val="Paragraphedeliste"/>
        <w:numPr>
          <w:ilvl w:val="0"/>
          <w:numId w:val="4"/>
        </w:numPr>
        <w:spacing w:after="240"/>
        <w:ind w:left="0"/>
      </w:pPr>
      <w:r>
        <w:t>La Maison de l’Emploi du Romorantinais est un partenaire actif du réseau SPRO sur le bassin. Il serait logique</w:t>
      </w:r>
      <w:r w:rsidR="00541C96">
        <w:t xml:space="preserve"> et profitable qu’elle devienne, si c’est possible, </w:t>
      </w:r>
      <w:r>
        <w:t>signataire de la prochaine convention.</w:t>
      </w:r>
    </w:p>
    <w:p w:rsidR="006B4ECC" w:rsidRDefault="006B4ECC" w:rsidP="006B4ECC">
      <w:pPr>
        <w:pStyle w:val="Paragraphedeliste"/>
        <w:spacing w:after="240"/>
        <w:ind w:left="0"/>
      </w:pPr>
    </w:p>
    <w:p w:rsidR="001C73AB" w:rsidRPr="001C73AB" w:rsidRDefault="001C73AB" w:rsidP="001C73AB">
      <w:pPr>
        <w:pStyle w:val="Paragraphedeliste"/>
        <w:numPr>
          <w:ilvl w:val="0"/>
          <w:numId w:val="5"/>
        </w:numPr>
        <w:spacing w:line="276" w:lineRule="auto"/>
        <w:rPr>
          <w:b/>
        </w:rPr>
      </w:pPr>
      <w:r w:rsidRPr="001C73AB">
        <w:rPr>
          <w:b/>
        </w:rPr>
        <w:t>Projets 2017</w:t>
      </w:r>
    </w:p>
    <w:p w:rsidR="00681CB9" w:rsidRDefault="001C73AB" w:rsidP="00541C96">
      <w:pPr>
        <w:pStyle w:val="Paragraphedeliste"/>
        <w:numPr>
          <w:ilvl w:val="0"/>
          <w:numId w:val="4"/>
        </w:numPr>
        <w:ind w:left="0"/>
      </w:pPr>
      <w:r>
        <w:t xml:space="preserve">Présentation du PRF par Stéphane </w:t>
      </w:r>
      <w:proofErr w:type="spellStart"/>
      <w:r>
        <w:t>Decanton</w:t>
      </w:r>
      <w:proofErr w:type="spellEnd"/>
    </w:p>
    <w:p w:rsidR="001C73AB" w:rsidRDefault="001C73AB" w:rsidP="00681CB9">
      <w:r>
        <w:t xml:space="preserve">Le 12/01 AM, le PRF doit être présenté par Stéphane </w:t>
      </w:r>
      <w:proofErr w:type="spellStart"/>
      <w:r>
        <w:t>Decanton</w:t>
      </w:r>
      <w:proofErr w:type="spellEnd"/>
      <w:r>
        <w:t xml:space="preserve"> aux salariés de PE et de la ML. Le CIO souhaite éga</w:t>
      </w:r>
      <w:r w:rsidR="00541C96">
        <w:t xml:space="preserve">lement être convié afin de pouvoir bénéficier du même niveau d’information à destination de ses publics que les autres partenaires du réseau. </w:t>
      </w:r>
      <w:proofErr w:type="spellStart"/>
      <w:r w:rsidR="00541C96">
        <w:t>M.Vallée</w:t>
      </w:r>
      <w:proofErr w:type="spellEnd"/>
      <w:r w:rsidR="00541C96">
        <w:t xml:space="preserve"> doit demander son accord à </w:t>
      </w:r>
      <w:proofErr w:type="spellStart"/>
      <w:r w:rsidR="00541C96">
        <w:t>S.Decanton</w:t>
      </w:r>
      <w:proofErr w:type="spellEnd"/>
      <w:r w:rsidR="00541C96">
        <w:t>.</w:t>
      </w:r>
    </w:p>
    <w:p w:rsidR="00541C96" w:rsidRDefault="00541C96" w:rsidP="00681CB9">
      <w:r>
        <w:t>La question est posée de savoir quel impact peut avoir la possibilité d’inscription directe des publics auprès des organismes de formation sur la cohérence de leur parcours.</w:t>
      </w:r>
    </w:p>
    <w:p w:rsidR="00142AAE" w:rsidRDefault="00142AAE" w:rsidP="00681CB9"/>
    <w:p w:rsidR="00541C96" w:rsidRDefault="00142AAE" w:rsidP="00142AAE">
      <w:pPr>
        <w:pStyle w:val="Paragraphedeliste"/>
        <w:numPr>
          <w:ilvl w:val="0"/>
          <w:numId w:val="4"/>
        </w:numPr>
        <w:ind w:left="0"/>
      </w:pPr>
      <w:r>
        <w:t>« </w:t>
      </w:r>
      <w:r w:rsidR="00541C96">
        <w:t xml:space="preserve">SPRO </w:t>
      </w:r>
      <w:proofErr w:type="spellStart"/>
      <w:r w:rsidR="00541C96">
        <w:t>Dating</w:t>
      </w:r>
      <w:proofErr w:type="spellEnd"/>
      <w:r>
        <w:t> »</w:t>
      </w:r>
    </w:p>
    <w:p w:rsidR="00541C96" w:rsidRDefault="00541C96" w:rsidP="00681CB9">
      <w:r>
        <w:t xml:space="preserve">Les partenaires sont d’accord pour mettre en place des SPRO </w:t>
      </w:r>
      <w:proofErr w:type="spellStart"/>
      <w:r>
        <w:t>Dating</w:t>
      </w:r>
      <w:proofErr w:type="spellEnd"/>
      <w:r>
        <w:t xml:space="preserve"> sur le modèle de ceux proposés par Blois. La nécessité de la présence des </w:t>
      </w:r>
      <w:proofErr w:type="spellStart"/>
      <w:r>
        <w:t>Opacif</w:t>
      </w:r>
      <w:proofErr w:type="spellEnd"/>
      <w:r>
        <w:t xml:space="preserve"> et de l’</w:t>
      </w:r>
      <w:proofErr w:type="spellStart"/>
      <w:r>
        <w:t>Apec</w:t>
      </w:r>
      <w:proofErr w:type="spellEnd"/>
      <w:r>
        <w:t xml:space="preserve"> est soulignée, car ce </w:t>
      </w:r>
      <w:r w:rsidR="00142AAE">
        <w:t>sont les structures les moins bien</w:t>
      </w:r>
      <w:r>
        <w:t xml:space="preserve"> connues des </w:t>
      </w:r>
      <w:r w:rsidR="00142AAE">
        <w:t xml:space="preserve">autres </w:t>
      </w:r>
      <w:r>
        <w:t>salariés du réseau.</w:t>
      </w:r>
    </w:p>
    <w:p w:rsidR="00142AAE" w:rsidRDefault="00142AAE" w:rsidP="00681CB9">
      <w:r>
        <w:t xml:space="preserve">La date du premier SPRO </w:t>
      </w:r>
      <w:proofErr w:type="spellStart"/>
      <w:r>
        <w:t>Dating</w:t>
      </w:r>
      <w:proofErr w:type="spellEnd"/>
      <w:r>
        <w:t xml:space="preserve"> est fixée le </w:t>
      </w:r>
      <w:r w:rsidRPr="00142AAE">
        <w:rPr>
          <w:b/>
          <w:sz w:val="24"/>
        </w:rPr>
        <w:t>10 mars de 9h30 à 11h30.</w:t>
      </w:r>
    </w:p>
    <w:p w:rsidR="00681CB9" w:rsidRDefault="00142AAE" w:rsidP="00681CB9">
      <w:r>
        <w:t xml:space="preserve">Les modalités de mise en œuvre (logistique, animation…) seront fixées lors de la prochaine </w:t>
      </w:r>
      <w:r w:rsidR="006B4ECC">
        <w:t>réunion du SPRO (avant le 10/02).</w:t>
      </w:r>
      <w:r>
        <w:t xml:space="preserve"> </w:t>
      </w:r>
      <w:proofErr w:type="spellStart"/>
      <w:r>
        <w:t>F.Pinet</w:t>
      </w:r>
      <w:proofErr w:type="spellEnd"/>
      <w:r>
        <w:t xml:space="preserve"> envoie un </w:t>
      </w:r>
      <w:proofErr w:type="spellStart"/>
      <w:r>
        <w:t>Doodle</w:t>
      </w:r>
      <w:proofErr w:type="spellEnd"/>
      <w:r>
        <w:t xml:space="preserve"> après concertation sur les possibilités de dates avec </w:t>
      </w:r>
      <w:proofErr w:type="spellStart"/>
      <w:r>
        <w:t>T.Prigent</w:t>
      </w:r>
      <w:proofErr w:type="spellEnd"/>
      <w:r>
        <w:t xml:space="preserve"> et </w:t>
      </w:r>
      <w:proofErr w:type="spellStart"/>
      <w:r>
        <w:t>C.Gagneux</w:t>
      </w:r>
      <w:proofErr w:type="spellEnd"/>
      <w:r>
        <w:t>).</w:t>
      </w:r>
    </w:p>
    <w:p w:rsidR="00142AAE" w:rsidRDefault="00142AAE" w:rsidP="00681CB9"/>
    <w:p w:rsidR="00142AAE" w:rsidRDefault="00142AAE" w:rsidP="006B4ECC">
      <w:pPr>
        <w:pStyle w:val="Paragraphedeliste"/>
        <w:numPr>
          <w:ilvl w:val="0"/>
          <w:numId w:val="4"/>
        </w:numPr>
        <w:ind w:left="0"/>
      </w:pPr>
      <w:r>
        <w:t>Focus métiers/fiches ORFE</w:t>
      </w:r>
    </w:p>
    <w:p w:rsidR="00142AAE" w:rsidRDefault="00130EEF" w:rsidP="00681CB9">
      <w:r>
        <w:t>Le rythme de réalisation des focus pourrait être de deux à trois par an (à fixer lors de l’écriture du projet). Il serait intéressant que le choix des métiers à mettre en avant soit fait en fonction des évènements du territoire (ex : Forum de l’hôtellerie-restauration).</w:t>
      </w:r>
    </w:p>
    <w:p w:rsidR="00C96F85" w:rsidRDefault="00C96F85" w:rsidP="00681CB9"/>
    <w:p w:rsidR="00C96F85" w:rsidRDefault="00C96F85" w:rsidP="006B4ECC">
      <w:pPr>
        <w:pStyle w:val="Paragraphedeliste"/>
        <w:numPr>
          <w:ilvl w:val="0"/>
          <w:numId w:val="4"/>
        </w:numPr>
        <w:ind w:left="0"/>
      </w:pPr>
      <w:r>
        <w:t>Conférences thématiques</w:t>
      </w:r>
    </w:p>
    <w:p w:rsidR="00C96F85" w:rsidRDefault="00C96F85" w:rsidP="00681CB9">
      <w:r>
        <w:t xml:space="preserve">Les partenaires actent également l’organisation de conférences thématiques à destination des salariés du réseau. Celles-ci auront lieu au niveau départemental. </w:t>
      </w:r>
      <w:r w:rsidR="00157E3F">
        <w:t>Elles privilégieront l’interconnaissance entre les structures. Suggestion de thèmes :</w:t>
      </w:r>
      <w:r>
        <w:t xml:space="preserve"> les </w:t>
      </w:r>
      <w:proofErr w:type="spellStart"/>
      <w:r>
        <w:t>Opacif</w:t>
      </w:r>
      <w:proofErr w:type="spellEnd"/>
      <w:r w:rsidR="00157E3F">
        <w:t>.</w:t>
      </w:r>
      <w:r>
        <w:t xml:space="preserve"> </w:t>
      </w:r>
    </w:p>
    <w:p w:rsidR="00142AAE" w:rsidRPr="00DC086A" w:rsidRDefault="00142AAE" w:rsidP="00681CB9"/>
    <w:sectPr w:rsidR="00142AAE" w:rsidRPr="00DC086A" w:rsidSect="007368B8">
      <w:headerReference w:type="default" r:id="rId7"/>
      <w:footerReference w:type="default" r:id="rId8"/>
      <w:pgSz w:w="11906" w:h="16838"/>
      <w:pgMar w:top="2670" w:right="1417" w:bottom="1417" w:left="1417" w:header="708" w:footer="7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85" w:rsidRDefault="00C96F85" w:rsidP="00C56585">
      <w:r>
        <w:separator/>
      </w:r>
    </w:p>
  </w:endnote>
  <w:endnote w:type="continuationSeparator" w:id="0">
    <w:p w:rsidR="00C96F85" w:rsidRDefault="00C96F85" w:rsidP="00C5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85" w:rsidRDefault="00C96F85" w:rsidP="00C56585">
    <w:pPr>
      <w:pStyle w:val="Pieddepage"/>
      <w:ind w:left="-1276"/>
    </w:pPr>
    <w:r w:rsidRPr="00C9079B">
      <w:rPr>
        <w:b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097" type="#_x0000_t202" style="position:absolute;left:0;text-align:left;margin-left:-64.1pt;margin-top:107.25pt;width:568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" fillcolor="white [3201]" stroked="f" strokeweight=".5pt">
          <v:textbox style="mso-next-textbox:#Zone de texte 6">
            <w:txbxContent>
              <w:p w:rsidR="00C96F85" w:rsidRPr="00056E0E" w:rsidRDefault="00C96F85" w:rsidP="007368B8">
                <w:pPr>
                  <w:jc w:val="center"/>
                  <w:rPr>
                    <w:rFonts w:ascii="Verdana" w:hAnsi="Verdana"/>
                    <w:sz w:val="14"/>
                  </w:rPr>
                </w:pPr>
                <w:r w:rsidRPr="00056E0E">
                  <w:rPr>
                    <w:rFonts w:ascii="Verdana" w:hAnsi="Verdana" w:cs="Arial"/>
                    <w:spacing w:val="5"/>
                    <w:kern w:val="1"/>
                    <w:sz w:val="14"/>
                    <w:szCs w:val="20"/>
                  </w:rPr>
                  <w:t>Cette opération est cofinancée par l’Union européenne. L’Europe s’engage en région Centre-Val de Loire avec le Fonds Social Européen.</w:t>
                </w:r>
              </w:p>
              <w:p w:rsidR="00C96F85" w:rsidRDefault="00C96F85"/>
            </w:txbxContent>
          </v:textbox>
        </v:shape>
      </w:pict>
    </w:r>
    <w:r>
      <w:rPr>
        <w:b/>
        <w:noProof/>
        <w:lang w:eastAsia="fr-FR"/>
      </w:rPr>
      <w:drawing>
        <wp:inline distT="0" distB="0" distL="0" distR="0">
          <wp:extent cx="7411856" cy="1295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_SPR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7644"/>
                  <a:stretch/>
                </pic:blipFill>
                <pic:spPr bwMode="auto">
                  <a:xfrm>
                    <a:off x="0" y="0"/>
                    <a:ext cx="7438602" cy="13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85" w:rsidRDefault="00C96F85" w:rsidP="00C56585">
      <w:r>
        <w:separator/>
      </w:r>
    </w:p>
  </w:footnote>
  <w:footnote w:type="continuationSeparator" w:id="0">
    <w:p w:rsidR="00C96F85" w:rsidRDefault="00C96F85" w:rsidP="00C56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85" w:rsidRDefault="00C96F85">
    <w:pPr>
      <w:pStyle w:val="En-tte"/>
    </w:pPr>
    <w:r>
      <w:rPr>
        <w:noProof/>
        <w:lang w:eastAsia="fr-FR"/>
      </w:rPr>
      <w:drawing>
        <wp:inline distT="0" distB="0" distL="0" distR="0">
          <wp:extent cx="1584960" cy="716280"/>
          <wp:effectExtent l="19050" t="0" r="0" b="0"/>
          <wp:docPr id="2" name="Image 1" descr="logo S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-144780</wp:posOffset>
          </wp:positionV>
          <wp:extent cx="3733165" cy="1195070"/>
          <wp:effectExtent l="19050" t="0" r="635" b="0"/>
          <wp:wrapTight wrapText="bothSides">
            <wp:wrapPolygon edited="0">
              <wp:start x="-110" y="0"/>
              <wp:lineTo x="-110" y="21348"/>
              <wp:lineTo x="21604" y="21348"/>
              <wp:lineTo x="21604" y="0"/>
              <wp:lineTo x="-110" y="0"/>
            </wp:wrapPolygon>
          </wp:wrapTight>
          <wp:docPr id="5" name="Image 2" descr="rcvl_fesi_charte-haut-3logos-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vl_fesi_charte-haut-3logos-pa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165" cy="1195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DB7"/>
    <w:multiLevelType w:val="hybridMultilevel"/>
    <w:tmpl w:val="1EB8BA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90FC0"/>
    <w:multiLevelType w:val="hybridMultilevel"/>
    <w:tmpl w:val="DE26E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0CDE"/>
    <w:multiLevelType w:val="hybridMultilevel"/>
    <w:tmpl w:val="6108D6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19A0"/>
    <w:multiLevelType w:val="hybridMultilevel"/>
    <w:tmpl w:val="33CC7100"/>
    <w:lvl w:ilvl="0" w:tplc="8C0C2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21CE4"/>
    <w:multiLevelType w:val="hybridMultilevel"/>
    <w:tmpl w:val="97F89A02"/>
    <w:lvl w:ilvl="0" w:tplc="B5EEF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53262"/>
    <w:multiLevelType w:val="hybridMultilevel"/>
    <w:tmpl w:val="89A63804"/>
    <w:lvl w:ilvl="0" w:tplc="76424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637F3"/>
    <w:multiLevelType w:val="hybridMultilevel"/>
    <w:tmpl w:val="124440E8"/>
    <w:lvl w:ilvl="0" w:tplc="5E3A54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712DA"/>
    <w:multiLevelType w:val="hybridMultilevel"/>
    <w:tmpl w:val="821277CA"/>
    <w:lvl w:ilvl="0" w:tplc="F0C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7948"/>
    <w:rsid w:val="00020F16"/>
    <w:rsid w:val="00090D83"/>
    <w:rsid w:val="000B0D28"/>
    <w:rsid w:val="00130EEF"/>
    <w:rsid w:val="00142AAE"/>
    <w:rsid w:val="00157E3F"/>
    <w:rsid w:val="001C73AB"/>
    <w:rsid w:val="001E7948"/>
    <w:rsid w:val="002C3089"/>
    <w:rsid w:val="003638DB"/>
    <w:rsid w:val="004425C0"/>
    <w:rsid w:val="00482669"/>
    <w:rsid w:val="00541C96"/>
    <w:rsid w:val="00562303"/>
    <w:rsid w:val="006009A6"/>
    <w:rsid w:val="00681CB9"/>
    <w:rsid w:val="00691468"/>
    <w:rsid w:val="006B4ECC"/>
    <w:rsid w:val="007368B8"/>
    <w:rsid w:val="00795FC9"/>
    <w:rsid w:val="007F7FBC"/>
    <w:rsid w:val="008273F1"/>
    <w:rsid w:val="0091570F"/>
    <w:rsid w:val="009D0F9C"/>
    <w:rsid w:val="00A22F13"/>
    <w:rsid w:val="00A361EC"/>
    <w:rsid w:val="00B323B7"/>
    <w:rsid w:val="00B92C00"/>
    <w:rsid w:val="00C510CB"/>
    <w:rsid w:val="00C56585"/>
    <w:rsid w:val="00C9079B"/>
    <w:rsid w:val="00C96F85"/>
    <w:rsid w:val="00D84BA0"/>
    <w:rsid w:val="00DC086A"/>
    <w:rsid w:val="00F13BCE"/>
    <w:rsid w:val="00F76BA2"/>
    <w:rsid w:val="00F9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9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5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65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585"/>
  </w:style>
  <w:style w:type="paragraph" w:styleId="Pieddepage">
    <w:name w:val="footer"/>
    <w:basedOn w:val="Normal"/>
    <w:link w:val="PieddepageCar"/>
    <w:uiPriority w:val="99"/>
    <w:unhideWhenUsed/>
    <w:rsid w:val="00C56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585"/>
  </w:style>
  <w:style w:type="table" w:styleId="Grilledutableau">
    <w:name w:val="Table Grid"/>
    <w:basedOn w:val="TableauNormal"/>
    <w:uiPriority w:val="59"/>
    <w:rsid w:val="007F7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frenaut</cp:lastModifiedBy>
  <cp:revision>4</cp:revision>
  <dcterms:created xsi:type="dcterms:W3CDTF">2016-12-19T16:30:00Z</dcterms:created>
  <dcterms:modified xsi:type="dcterms:W3CDTF">2016-12-20T11:48:00Z</dcterms:modified>
</cp:coreProperties>
</file>